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48E03">
      <w:pPr>
        <w:numPr>
          <w:ilvl w:val="0"/>
          <w:numId w:val="0"/>
        </w:numP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附件1</w:t>
      </w:r>
    </w:p>
    <w:p w14:paraId="6D1848BA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内蒙古风景园林学会第四届</w:t>
      </w:r>
    </w:p>
    <w:p w14:paraId="6A99A89B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第一次会员大会报名回执表</w:t>
      </w:r>
    </w:p>
    <w:bookmarkEnd w:id="0"/>
    <w:p w14:paraId="2352523A"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919"/>
        <w:gridCol w:w="943"/>
        <w:gridCol w:w="1420"/>
        <w:gridCol w:w="1930"/>
        <w:gridCol w:w="910"/>
      </w:tblGrid>
      <w:tr w14:paraId="7BF225DC">
        <w:tc>
          <w:tcPr>
            <w:tcW w:w="2396" w:type="dxa"/>
            <w:vAlign w:val="center"/>
          </w:tcPr>
          <w:p w14:paraId="6DBD1D94">
            <w:pPr>
              <w:numPr>
                <w:ilvl w:val="0"/>
                <w:numId w:val="0"/>
              </w:numPr>
              <w:jc w:val="center"/>
              <w:rPr>
                <w:rFonts w:hint="default" w:ascii="方正仿宋_GB18030" w:hAnsi="方正仿宋_GB18030" w:eastAsia="方正仿宋_GB18030" w:cs="方正仿宋_GB18030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919" w:type="dxa"/>
            <w:vAlign w:val="center"/>
          </w:tcPr>
          <w:p w14:paraId="47DA0DCB">
            <w:pPr>
              <w:numPr>
                <w:ilvl w:val="0"/>
                <w:numId w:val="0"/>
              </w:numPr>
              <w:jc w:val="center"/>
              <w:rPr>
                <w:rFonts w:hint="default" w:ascii="方正仿宋_GB18030" w:hAnsi="方正仿宋_GB18030" w:eastAsia="方正仿宋_GB18030" w:cs="方正仿宋_GB18030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43" w:type="dxa"/>
            <w:vAlign w:val="center"/>
          </w:tcPr>
          <w:p w14:paraId="410D2FE5"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 w14:paraId="549CFC4B">
            <w:pPr>
              <w:numPr>
                <w:ilvl w:val="0"/>
                <w:numId w:val="0"/>
              </w:numPr>
              <w:jc w:val="center"/>
              <w:rPr>
                <w:rFonts w:hint="default" w:ascii="方正仿宋_GB18030" w:hAnsi="方正仿宋_GB18030" w:eastAsia="方正仿宋_GB18030" w:cs="方正仿宋_GB18030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930" w:type="dxa"/>
            <w:vAlign w:val="center"/>
          </w:tcPr>
          <w:p w14:paraId="07E94EE8">
            <w:pPr>
              <w:numPr>
                <w:ilvl w:val="0"/>
                <w:numId w:val="0"/>
              </w:numPr>
              <w:jc w:val="center"/>
              <w:rPr>
                <w:rFonts w:hint="default" w:ascii="方正仿宋_GB18030" w:hAnsi="方正仿宋_GB18030" w:eastAsia="方正仿宋_GB18030" w:cs="方正仿宋_GB18030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910" w:type="dxa"/>
            <w:vAlign w:val="center"/>
          </w:tcPr>
          <w:p w14:paraId="4EA54EC2"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vertAlign w:val="baseline"/>
                <w:lang w:val="en-US" w:eastAsia="zh-CN"/>
              </w:rPr>
              <w:t>是否住宿</w:t>
            </w:r>
          </w:p>
        </w:tc>
      </w:tr>
      <w:tr w14:paraId="6D53ED76">
        <w:trPr>
          <w:trHeight w:val="1195" w:hRule="atLeast"/>
        </w:trPr>
        <w:tc>
          <w:tcPr>
            <w:tcW w:w="2396" w:type="dxa"/>
          </w:tcPr>
          <w:p w14:paraId="35A8A4F3">
            <w:pPr>
              <w:numPr>
                <w:ilvl w:val="0"/>
                <w:numId w:val="0"/>
              </w:numPr>
              <w:rPr>
                <w:rFonts w:hint="default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9" w:type="dxa"/>
          </w:tcPr>
          <w:p w14:paraId="16637533">
            <w:pPr>
              <w:numPr>
                <w:ilvl w:val="0"/>
                <w:numId w:val="0"/>
              </w:numPr>
              <w:rPr>
                <w:rFonts w:hint="default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3" w:type="dxa"/>
          </w:tcPr>
          <w:p w14:paraId="67C7854C">
            <w:pPr>
              <w:numPr>
                <w:ilvl w:val="0"/>
                <w:numId w:val="0"/>
              </w:numPr>
              <w:rPr>
                <w:rFonts w:hint="default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7CD94B1">
            <w:pPr>
              <w:numPr>
                <w:ilvl w:val="0"/>
                <w:numId w:val="0"/>
              </w:numPr>
              <w:rPr>
                <w:rFonts w:hint="default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0" w:type="dxa"/>
          </w:tcPr>
          <w:p w14:paraId="483D4EC7">
            <w:pPr>
              <w:numPr>
                <w:ilvl w:val="0"/>
                <w:numId w:val="0"/>
              </w:numPr>
              <w:rPr>
                <w:rFonts w:hint="default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0" w:type="dxa"/>
          </w:tcPr>
          <w:p w14:paraId="134779F2">
            <w:pPr>
              <w:numPr>
                <w:ilvl w:val="0"/>
                <w:numId w:val="0"/>
              </w:numPr>
              <w:rPr>
                <w:rFonts w:hint="default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D3BB9D">
        <w:trPr>
          <w:trHeight w:val="1270" w:hRule="atLeast"/>
        </w:trPr>
        <w:tc>
          <w:tcPr>
            <w:tcW w:w="2396" w:type="dxa"/>
          </w:tcPr>
          <w:p w14:paraId="03A94166">
            <w:pPr>
              <w:numPr>
                <w:ilvl w:val="0"/>
                <w:numId w:val="0"/>
              </w:numPr>
              <w:rPr>
                <w:rFonts w:hint="default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9" w:type="dxa"/>
          </w:tcPr>
          <w:p w14:paraId="1CB47DEF">
            <w:pPr>
              <w:numPr>
                <w:ilvl w:val="0"/>
                <w:numId w:val="0"/>
              </w:numPr>
              <w:rPr>
                <w:rFonts w:hint="default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3" w:type="dxa"/>
          </w:tcPr>
          <w:p w14:paraId="32D1A096">
            <w:pPr>
              <w:numPr>
                <w:ilvl w:val="0"/>
                <w:numId w:val="0"/>
              </w:numPr>
              <w:rPr>
                <w:rFonts w:hint="default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FF7D593">
            <w:pPr>
              <w:numPr>
                <w:ilvl w:val="0"/>
                <w:numId w:val="0"/>
              </w:numPr>
              <w:rPr>
                <w:rFonts w:hint="default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0" w:type="dxa"/>
          </w:tcPr>
          <w:p w14:paraId="60E40841">
            <w:pPr>
              <w:numPr>
                <w:ilvl w:val="0"/>
                <w:numId w:val="0"/>
              </w:numPr>
              <w:rPr>
                <w:rFonts w:hint="default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0" w:type="dxa"/>
          </w:tcPr>
          <w:p w14:paraId="085A1C93">
            <w:pPr>
              <w:numPr>
                <w:ilvl w:val="0"/>
                <w:numId w:val="0"/>
              </w:numPr>
              <w:rPr>
                <w:rFonts w:hint="default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83692A">
        <w:trPr>
          <w:trHeight w:val="1185" w:hRule="atLeast"/>
        </w:trPr>
        <w:tc>
          <w:tcPr>
            <w:tcW w:w="2396" w:type="dxa"/>
          </w:tcPr>
          <w:p w14:paraId="26DCD413">
            <w:pPr>
              <w:numPr>
                <w:ilvl w:val="0"/>
                <w:numId w:val="0"/>
              </w:numPr>
              <w:rPr>
                <w:rFonts w:hint="default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9" w:type="dxa"/>
          </w:tcPr>
          <w:p w14:paraId="008AD9C6">
            <w:pPr>
              <w:numPr>
                <w:ilvl w:val="0"/>
                <w:numId w:val="0"/>
              </w:numPr>
              <w:rPr>
                <w:rFonts w:hint="default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3" w:type="dxa"/>
          </w:tcPr>
          <w:p w14:paraId="61818A8B">
            <w:pPr>
              <w:numPr>
                <w:ilvl w:val="0"/>
                <w:numId w:val="0"/>
              </w:numPr>
              <w:rPr>
                <w:rFonts w:hint="default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81C6943">
            <w:pPr>
              <w:numPr>
                <w:ilvl w:val="0"/>
                <w:numId w:val="0"/>
              </w:numPr>
              <w:rPr>
                <w:rFonts w:hint="default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0" w:type="dxa"/>
          </w:tcPr>
          <w:p w14:paraId="432FEE30">
            <w:pPr>
              <w:numPr>
                <w:ilvl w:val="0"/>
                <w:numId w:val="0"/>
              </w:numPr>
              <w:rPr>
                <w:rFonts w:hint="default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0" w:type="dxa"/>
          </w:tcPr>
          <w:p w14:paraId="2924C401">
            <w:pPr>
              <w:numPr>
                <w:ilvl w:val="0"/>
                <w:numId w:val="0"/>
              </w:numPr>
              <w:rPr>
                <w:rFonts w:hint="default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30726AA">
      <w:pPr>
        <w:numPr>
          <w:ilvl w:val="0"/>
          <w:numId w:val="1"/>
        </w:numPr>
        <w:rPr>
          <w:rFonts w:hint="eastAsia" w:ascii="方正仿宋_GB18030" w:hAnsi="方正仿宋_GB18030" w:eastAsia="方正仿宋_GB18030" w:cs="方正仿宋_GB1803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0"/>
          <w:szCs w:val="30"/>
          <w:lang w:val="en-US" w:eastAsia="zh-CN"/>
        </w:rPr>
        <w:t>会议住宿标准：320元/晚，含单早。</w:t>
      </w:r>
    </w:p>
    <w:p w14:paraId="68A8BD8A">
      <w:pPr>
        <w:numPr>
          <w:ilvl w:val="0"/>
          <w:numId w:val="1"/>
        </w:numPr>
        <w:rPr>
          <w:rFonts w:hint="default" w:ascii="方正仿宋_GB18030" w:hAnsi="方正仿宋_GB18030" w:eastAsia="方正仿宋_GB18030" w:cs="方正仿宋_GB1803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0"/>
          <w:szCs w:val="30"/>
          <w:lang w:val="en-US" w:eastAsia="zh-CN"/>
        </w:rPr>
        <w:t>请会员单位于9月18日前，加盖单位公章，将扫描件发送至学会邮箱：</w:t>
      </w:r>
      <w:r>
        <w:rPr>
          <w:rFonts w:hint="eastAsia" w:ascii="方正仿宋_GB18030" w:hAnsi="方正仿宋_GB18030" w:eastAsia="方正仿宋_GB18030" w:cs="方正仿宋_GB18030"/>
          <w:sz w:val="30"/>
          <w:szCs w:val="30"/>
          <w:lang w:val="en-US" w:eastAsia="zh-CN"/>
        </w:rPr>
        <w:fldChar w:fldCharType="begin"/>
      </w:r>
      <w:r>
        <w:rPr>
          <w:rFonts w:hint="eastAsia" w:ascii="方正仿宋_GB18030" w:hAnsi="方正仿宋_GB18030" w:eastAsia="方正仿宋_GB18030" w:cs="方正仿宋_GB18030"/>
          <w:sz w:val="30"/>
          <w:szCs w:val="30"/>
          <w:lang w:val="en-US" w:eastAsia="zh-CN"/>
        </w:rPr>
        <w:instrText xml:space="preserve"> HYPERLINK "mailto:nmgfjyl@126.com" </w:instrText>
      </w:r>
      <w:r>
        <w:rPr>
          <w:rFonts w:hint="eastAsia" w:ascii="方正仿宋_GB18030" w:hAnsi="方正仿宋_GB18030" w:eastAsia="方正仿宋_GB18030" w:cs="方正仿宋_GB18030"/>
          <w:sz w:val="30"/>
          <w:szCs w:val="30"/>
          <w:lang w:val="en-US" w:eastAsia="zh-CN"/>
        </w:rPr>
        <w:fldChar w:fldCharType="separate"/>
      </w:r>
      <w:r>
        <w:rPr>
          <w:rStyle w:val="5"/>
          <w:rFonts w:hint="eastAsia" w:ascii="方正仿宋_GB18030" w:hAnsi="方正仿宋_GB18030" w:eastAsia="方正仿宋_GB18030" w:cs="方正仿宋_GB18030"/>
          <w:sz w:val="30"/>
          <w:szCs w:val="30"/>
          <w:lang w:val="en-US" w:eastAsia="zh-CN"/>
        </w:rPr>
        <w:t>nmgfjyl@126.com</w:t>
      </w:r>
      <w:r>
        <w:rPr>
          <w:rFonts w:hint="eastAsia" w:ascii="方正仿宋_GB18030" w:hAnsi="方正仿宋_GB18030" w:eastAsia="方正仿宋_GB18030" w:cs="方正仿宋_GB18030"/>
          <w:sz w:val="30"/>
          <w:szCs w:val="30"/>
          <w:lang w:val="en-US" w:eastAsia="zh-CN"/>
        </w:rPr>
        <w:fldChar w:fldCharType="end"/>
      </w:r>
    </w:p>
    <w:p w14:paraId="6BCBBD30">
      <w:pPr>
        <w:numPr>
          <w:ilvl w:val="0"/>
          <w:numId w:val="1"/>
        </w:numPr>
        <w:rPr>
          <w:rFonts w:hint="default" w:ascii="方正仿宋_GB18030" w:hAnsi="方正仿宋_GB18030" w:eastAsia="方正仿宋_GB18030" w:cs="方正仿宋_GB1803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0"/>
          <w:szCs w:val="30"/>
          <w:lang w:val="en-US" w:eastAsia="zh-CN"/>
        </w:rPr>
        <w:t>一旦确认参加，请务必准时出席。</w:t>
      </w:r>
    </w:p>
    <w:p w14:paraId="4A41B6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746468"/>
    <w:multiLevelType w:val="singleLevel"/>
    <w:tmpl w:val="2D74646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9F994D"/>
    <w:rsid w:val="BF9F9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2024-09-12T10:17:00Z</dcterms:created>
  <dc:creator>T.先生</dc:creator>
  <cp:lastModifiedBy>T.先生</cp:lastModifiedBy>
  <dcterms:modified xsi:type="dcterms:W3CDTF">2024-09-12T10:18:19Z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08425342CCEF77A9414FE2661223A606_41</vt:lpwstr>
  </property>
</Properties>
</file>